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9F" w:rsidRPr="00885B9F" w:rsidRDefault="00885B9F" w:rsidP="008E2C87">
      <w:pPr>
        <w:jc w:val="center"/>
        <w:rPr>
          <w:rFonts w:ascii="Times New Roman" w:hAnsi="Times New Roman" w:cs="Times New Roman"/>
        </w:rPr>
      </w:pPr>
      <w:r w:rsidRPr="00885B9F">
        <w:rPr>
          <w:rFonts w:ascii="Times New Roman" w:hAnsi="Times New Roman" w:cs="Times New Roman"/>
        </w:rPr>
        <w:t>OPINION</w:t>
      </w:r>
    </w:p>
    <w:p w:rsidR="00885B9F" w:rsidRPr="00885B9F" w:rsidRDefault="00885B9F" w:rsidP="008E2C87">
      <w:pPr>
        <w:jc w:val="center"/>
        <w:rPr>
          <w:rFonts w:ascii="Times New Roman" w:hAnsi="Times New Roman" w:cs="Times New Roman"/>
        </w:rPr>
      </w:pPr>
    </w:p>
    <w:p w:rsidR="00885B9F" w:rsidRPr="00885B9F" w:rsidRDefault="00885B9F" w:rsidP="008E2C87">
      <w:pPr>
        <w:jc w:val="center"/>
        <w:rPr>
          <w:rFonts w:ascii="Times New Roman" w:hAnsi="Times New Roman" w:cs="Times New Roman"/>
        </w:rPr>
      </w:pPr>
      <w:r w:rsidRPr="00885B9F">
        <w:rPr>
          <w:rFonts w:ascii="Times New Roman" w:hAnsi="Times New Roman" w:cs="Times New Roman"/>
        </w:rPr>
        <w:t>BY ASSOCIATE PROFESSOR DR</w:t>
      </w:r>
      <w:r w:rsidR="008E2C87">
        <w:rPr>
          <w:rFonts w:ascii="Times New Roman" w:hAnsi="Times New Roman" w:cs="Times New Roman"/>
        </w:rPr>
        <w:t>.</w:t>
      </w:r>
      <w:r w:rsidRPr="00885B9F">
        <w:rPr>
          <w:rFonts w:ascii="Times New Roman" w:hAnsi="Times New Roman" w:cs="Times New Roman"/>
        </w:rPr>
        <w:t xml:space="preserve"> ZHELYAZKO ILIEV ARABADJIEV, </w:t>
      </w:r>
      <w:r w:rsidR="008E2C87">
        <w:rPr>
          <w:rFonts w:ascii="Times New Roman" w:hAnsi="Times New Roman" w:cs="Times New Roman"/>
        </w:rPr>
        <w:t>PhD</w:t>
      </w:r>
    </w:p>
    <w:p w:rsidR="00885B9F" w:rsidRPr="00885B9F" w:rsidRDefault="00885B9F" w:rsidP="008E2C87">
      <w:pPr>
        <w:jc w:val="center"/>
        <w:rPr>
          <w:rFonts w:ascii="Times New Roman" w:hAnsi="Times New Roman" w:cs="Times New Roman"/>
        </w:rPr>
      </w:pPr>
      <w:r w:rsidRPr="00885B9F">
        <w:rPr>
          <w:rFonts w:ascii="Times New Roman" w:hAnsi="Times New Roman" w:cs="Times New Roman"/>
        </w:rPr>
        <w:t>HEAD OF THE DEPARTMENT OF MEDICAL ONCOLOGY</w:t>
      </w:r>
    </w:p>
    <w:p w:rsidR="00885B9F" w:rsidRPr="00885B9F" w:rsidRDefault="00885B9F" w:rsidP="008E2C87">
      <w:pPr>
        <w:jc w:val="center"/>
        <w:rPr>
          <w:rFonts w:ascii="Times New Roman" w:hAnsi="Times New Roman" w:cs="Times New Roman"/>
        </w:rPr>
      </w:pPr>
      <w:r w:rsidRPr="00885B9F">
        <w:rPr>
          <w:rFonts w:ascii="Times New Roman" w:hAnsi="Times New Roman" w:cs="Times New Roman"/>
        </w:rPr>
        <w:t>A</w:t>
      </w:r>
      <w:r w:rsidR="008E2C87">
        <w:rPr>
          <w:rFonts w:ascii="Times New Roman" w:hAnsi="Times New Roman" w:cs="Times New Roman"/>
        </w:rPr>
        <w:t>CI</w:t>
      </w:r>
      <w:r w:rsidRPr="00885B9F">
        <w:rPr>
          <w:rFonts w:ascii="Times New Roman" w:hAnsi="Times New Roman" w:cs="Times New Roman"/>
        </w:rPr>
        <w:t>BADEM CITY CLINIC UM</w:t>
      </w:r>
      <w:r w:rsidR="008E2C87">
        <w:rPr>
          <w:rFonts w:ascii="Times New Roman" w:hAnsi="Times New Roman" w:cs="Times New Roman"/>
        </w:rPr>
        <w:t>HAT</w:t>
      </w:r>
      <w:r w:rsidRPr="00885B9F">
        <w:rPr>
          <w:rFonts w:ascii="Times New Roman" w:hAnsi="Times New Roman" w:cs="Times New Roman"/>
        </w:rPr>
        <w:t xml:space="preserve"> TOKUDA </w:t>
      </w:r>
      <w:r w:rsidRPr="00885B9F">
        <w:rPr>
          <w:rFonts w:ascii="Times New Roman" w:eastAsia="MS Gothic" w:hAnsi="Times New Roman" w:cs="Times New Roman"/>
        </w:rPr>
        <w:t>​​</w:t>
      </w:r>
      <w:r w:rsidRPr="00885B9F">
        <w:rPr>
          <w:rFonts w:ascii="Times New Roman" w:hAnsi="Times New Roman" w:cs="Times New Roman"/>
        </w:rPr>
        <w:t>EAD</w:t>
      </w:r>
    </w:p>
    <w:p w:rsidR="00885B9F" w:rsidRPr="00885B9F" w:rsidRDefault="00885B9F"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proofErr w:type="gramStart"/>
      <w:r w:rsidRPr="00885B9F">
        <w:rPr>
          <w:rFonts w:ascii="Times New Roman" w:hAnsi="Times New Roman" w:cs="Times New Roman"/>
        </w:rPr>
        <w:t>Regarding:</w:t>
      </w:r>
      <w:proofErr w:type="gramEnd"/>
      <w:r w:rsidRPr="00885B9F">
        <w:rPr>
          <w:rFonts w:ascii="Times New Roman" w:hAnsi="Times New Roman" w:cs="Times New Roman"/>
        </w:rPr>
        <w:t xml:space="preserve"> competition for occupation of an academic position "Associate Professor" in the field of higher education 7. Health and sports, professional field 7.1 Medicine in the scientific specialty "Gastroenterology" for the needs of the Gastroenterology Clinic at </w:t>
      </w:r>
      <w:proofErr w:type="spellStart"/>
      <w:r w:rsidRPr="00885B9F">
        <w:rPr>
          <w:rFonts w:ascii="Times New Roman" w:hAnsi="Times New Roman" w:cs="Times New Roman"/>
        </w:rPr>
        <w:t>A</w:t>
      </w:r>
      <w:r w:rsidR="008E2C87">
        <w:rPr>
          <w:rFonts w:ascii="Times New Roman" w:hAnsi="Times New Roman" w:cs="Times New Roman"/>
        </w:rPr>
        <w:t>c</w:t>
      </w:r>
      <w:r w:rsidRPr="00885B9F">
        <w:rPr>
          <w:rFonts w:ascii="Times New Roman" w:hAnsi="Times New Roman" w:cs="Times New Roman"/>
        </w:rPr>
        <w:t>ibadem</w:t>
      </w:r>
      <w:proofErr w:type="spellEnd"/>
      <w:r w:rsidRPr="00885B9F">
        <w:rPr>
          <w:rFonts w:ascii="Times New Roman" w:hAnsi="Times New Roman" w:cs="Times New Roman"/>
        </w:rPr>
        <w:t xml:space="preserve"> City Clinic </w:t>
      </w:r>
      <w:r w:rsidR="008E2C87">
        <w:rPr>
          <w:rFonts w:ascii="Times New Roman" w:hAnsi="Times New Roman" w:cs="Times New Roman"/>
        </w:rPr>
        <w:t xml:space="preserve">UMHAT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w:t>
      </w:r>
    </w:p>
    <w:p w:rsidR="008E2C87" w:rsidRDefault="008E2C87"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1. Information about the procedure</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The competition to hold the academic position of "Associate Professor" in higher education 7. </w:t>
      </w:r>
      <w:proofErr w:type="gramStart"/>
      <w:r w:rsidRPr="00885B9F">
        <w:rPr>
          <w:rFonts w:ascii="Times New Roman" w:hAnsi="Times New Roman" w:cs="Times New Roman"/>
        </w:rPr>
        <w:t>Health and Sports, Professional 7.1 Medicine, in the scientific specialty "Gastroenterology" for the needs of the Clinic of Gastroenterology of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University Hospital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EAD was announced in </w:t>
      </w:r>
      <w:r w:rsidR="008E2C87">
        <w:rPr>
          <w:rFonts w:ascii="Times New Roman" w:hAnsi="Times New Roman" w:cs="Times New Roman"/>
        </w:rPr>
        <w:t>SG</w:t>
      </w:r>
      <w:r w:rsidRPr="00885B9F">
        <w:rPr>
          <w:rFonts w:ascii="Times New Roman" w:hAnsi="Times New Roman" w:cs="Times New Roman"/>
        </w:rPr>
        <w:t xml:space="preserve">, issue 17 / 01.03.2022 with order </w:t>
      </w:r>
      <w:r w:rsidRPr="00885B9F">
        <w:rPr>
          <w:rFonts w:ascii="Times New Roman" w:eastAsia="MS Gothic" w:hAnsi="Times New Roman" w:cs="Times New Roman"/>
        </w:rPr>
        <w:t>№</w:t>
      </w:r>
      <w:r w:rsidRPr="00885B9F">
        <w:rPr>
          <w:rFonts w:ascii="Times New Roman" w:hAnsi="Times New Roman" w:cs="Times New Roman"/>
        </w:rPr>
        <w:t xml:space="preserve">15-05-85 / 28.04.2022 I have been appointed a member of the Scientific Jury of the Executive Director and the Procurator of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UMHAT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and the decision of the first absentee meeting is to present an opinion.</w:t>
      </w:r>
      <w:proofErr w:type="gramEnd"/>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Only one candidate has submitted documents for participation in the competition - Chief Assistant Dr. </w:t>
      </w:r>
      <w:proofErr w:type="spellStart"/>
      <w:r w:rsidRPr="00885B9F">
        <w:rPr>
          <w:rFonts w:ascii="Times New Roman" w:hAnsi="Times New Roman" w:cs="Times New Roman"/>
        </w:rPr>
        <w:t>Radin</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w:t>
      </w:r>
      <w:r w:rsidR="008E2C87">
        <w:rPr>
          <w:rFonts w:ascii="Times New Roman" w:hAnsi="Times New Roman" w:cs="Times New Roman"/>
        </w:rPr>
        <w:t>PhD</w:t>
      </w:r>
      <w:r w:rsidRPr="00885B9F">
        <w:rPr>
          <w:rFonts w:ascii="Times New Roman" w:hAnsi="Times New Roman" w:cs="Times New Roman"/>
        </w:rPr>
        <w:t>, who meets all the requirements of ZRASRB, the Rules for its implementation and the Rules for the development of AC in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UM</w:t>
      </w:r>
      <w:r w:rsidR="008E2C87">
        <w:rPr>
          <w:rFonts w:ascii="Times New Roman" w:hAnsi="Times New Roman" w:cs="Times New Roman"/>
        </w:rPr>
        <w:t>HAT</w:t>
      </w:r>
      <w:r w:rsidRPr="00885B9F">
        <w:rPr>
          <w:rFonts w:ascii="Times New Roman" w:hAnsi="Times New Roman" w:cs="Times New Roman"/>
        </w:rPr>
        <w:t xml:space="preserve">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w:t>
      </w:r>
      <w:r w:rsidRPr="00885B9F">
        <w:rPr>
          <w:rFonts w:ascii="Times New Roman" w:eastAsia="MS Gothic" w:hAnsi="Times New Roman" w:cs="Times New Roman"/>
        </w:rPr>
        <w:t>“</w:t>
      </w:r>
      <w:r w:rsidRPr="00885B9F">
        <w:rPr>
          <w:rFonts w:ascii="Times New Roman" w:hAnsi="Times New Roman" w:cs="Times New Roman"/>
        </w:rPr>
        <w:t>EAD.</w:t>
      </w:r>
    </w:p>
    <w:p w:rsidR="008E2C87" w:rsidRDefault="008E2C87"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2. Professional data about the candidate</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w:t>
      </w:r>
      <w:proofErr w:type="spellStart"/>
      <w:r w:rsidRPr="00885B9F">
        <w:rPr>
          <w:rFonts w:ascii="Times New Roman" w:hAnsi="Times New Roman" w:cs="Times New Roman"/>
        </w:rPr>
        <w:t>Radin</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graduated in medicine in 1988 at the Medical University - Sofia, then worked as an aviator (1988-90) and resident in the Internal Medicine Department, Lom (1990-94). From 1994-2007 he was a resident gastroenterologist at the 5th Hospital (Sofia), and since 2007 he has been working at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Hospital, successively holding the positions of resident, head of the Department of Gastroenterology and Chief Assistant </w:t>
      </w:r>
      <w:proofErr w:type="gramStart"/>
      <w:r w:rsidRPr="00885B9F">
        <w:rPr>
          <w:rFonts w:ascii="Times New Roman" w:hAnsi="Times New Roman" w:cs="Times New Roman"/>
        </w:rPr>
        <w:t>( 2020</w:t>
      </w:r>
      <w:proofErr w:type="gramEnd"/>
      <w:r w:rsidRPr="00885B9F">
        <w:rPr>
          <w:rFonts w:ascii="Times New Roman" w:hAnsi="Times New Roman" w:cs="Times New Roman"/>
        </w:rPr>
        <w:t>) at the Clinic of Gastroenterology.</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acquired a specialty in "Internal Medicine" in 1995, and a specialty "Gastroenterology and Dietetics" in 1998. He defended his dissertation on "Assessment of liver fibrosis and quality of life in patients with chronic C-viral hepatitis and cirrhosis" in 2019.</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specialized in leading European institutes - Grant (Vienna, 1998), Arnhem (Netherlands, 1999), </w:t>
      </w:r>
      <w:proofErr w:type="spellStart"/>
      <w:r w:rsidRPr="00885B9F">
        <w:rPr>
          <w:rFonts w:ascii="Times New Roman" w:hAnsi="Times New Roman" w:cs="Times New Roman"/>
        </w:rPr>
        <w:t>Gemeli</w:t>
      </w:r>
      <w:proofErr w:type="spellEnd"/>
      <w:r w:rsidRPr="00885B9F">
        <w:rPr>
          <w:rFonts w:ascii="Times New Roman" w:hAnsi="Times New Roman" w:cs="Times New Roman"/>
        </w:rPr>
        <w:t xml:space="preserve"> (Rome, 1999). He has a certificate for participation in a health management course (2017).</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He holds numerous national and international certificates for successful training in conventional, Doppler, interventional ultrasound and a certificate from a course in biliopancreatic endoscopy from </w:t>
      </w:r>
      <w:proofErr w:type="spellStart"/>
      <w:r w:rsidRPr="00885B9F">
        <w:rPr>
          <w:rFonts w:ascii="Times New Roman" w:hAnsi="Times New Roman" w:cs="Times New Roman"/>
        </w:rPr>
        <w:t>Gemelli</w:t>
      </w:r>
      <w:proofErr w:type="spellEnd"/>
      <w:r w:rsidRPr="00885B9F">
        <w:rPr>
          <w:rFonts w:ascii="Times New Roman" w:hAnsi="Times New Roman" w:cs="Times New Roman"/>
        </w:rPr>
        <w:t xml:space="preserve"> Hospital, Italy (1999). </w:t>
      </w:r>
      <w:proofErr w:type="gramStart"/>
      <w:r w:rsidRPr="00885B9F">
        <w:rPr>
          <w:rFonts w:ascii="Times New Roman" w:hAnsi="Times New Roman" w:cs="Times New Roman"/>
        </w:rPr>
        <w:t>In 2006 has taken part in the Legal Health Care Center course and holds a certificate.</w:t>
      </w:r>
      <w:proofErr w:type="gramEnd"/>
      <w:r w:rsidRPr="00885B9F">
        <w:rPr>
          <w:rFonts w:ascii="Times New Roman" w:hAnsi="Times New Roman" w:cs="Times New Roman"/>
        </w:rPr>
        <w:t xml:space="preserve"> Presents an up-to-date Good Clinical Practice (GCP) certificate and has participated in 10 phase 1-3 clinical trials.</w:t>
      </w:r>
    </w:p>
    <w:p w:rsidR="00F05B3F" w:rsidRDefault="00885B9F" w:rsidP="00885B9F">
      <w:pPr>
        <w:jc w:val="both"/>
        <w:rPr>
          <w:rFonts w:ascii="Times New Roman" w:hAnsi="Times New Roman" w:cs="Times New Roman"/>
        </w:rPr>
      </w:pPr>
      <w:r w:rsidRPr="00885B9F">
        <w:rPr>
          <w:rFonts w:ascii="Times New Roman" w:hAnsi="Times New Roman" w:cs="Times New Roman"/>
        </w:rPr>
        <w:t>He is a member of the following professional and scientific organizations:</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 Member of the Board of the Bulgarian Society of </w:t>
      </w:r>
      <w:proofErr w:type="spellStart"/>
      <w:r w:rsidRPr="00885B9F">
        <w:rPr>
          <w:rFonts w:ascii="Times New Roman" w:hAnsi="Times New Roman" w:cs="Times New Roman"/>
        </w:rPr>
        <w:t>Hepatology</w:t>
      </w:r>
      <w:proofErr w:type="spellEnd"/>
      <w:r w:rsidRPr="00885B9F">
        <w:rPr>
          <w:rFonts w:ascii="Times New Roman" w:hAnsi="Times New Roman" w:cs="Times New Roman"/>
        </w:rPr>
        <w:t xml:space="preserve"> (BASL)</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BDGE (Bulgarian Society of Gastroenterology)</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BAU (Bulgarian Association of Ultrasound in Medicine)</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EASL (European Association for the Study of the Liver)</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Member of the Board of the National Program for Screening, Prevention and Treatment of Chronic Viral Hepatitis</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w:t>
      </w:r>
      <w:r w:rsidR="008E2C87">
        <w:rPr>
          <w:rFonts w:ascii="Times New Roman" w:hAnsi="Times New Roman" w:cs="Times New Roman"/>
        </w:rPr>
        <w:t xml:space="preserve"> </w:t>
      </w:r>
      <w:r w:rsidRPr="00885B9F">
        <w:rPr>
          <w:rFonts w:ascii="Times New Roman" w:hAnsi="Times New Roman" w:cs="Times New Roman"/>
        </w:rPr>
        <w:t>Bulgarian Medical Association</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lastRenderedPageBreak/>
        <w:t>Fluent in written and spoken English and Russian</w:t>
      </w:r>
      <w:r w:rsidR="008E2C87">
        <w:rPr>
          <w:rFonts w:ascii="Times New Roman" w:hAnsi="Times New Roman" w:cs="Times New Roman"/>
        </w:rPr>
        <w:t>.</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The candidate is undoubtedly an excellent gastroenterologist with a long and diverse clinical activity, well known and recognized by his colleagues, both in the gastroenterology community and other related disciplines of the internal medicine, including oncology.</w:t>
      </w:r>
    </w:p>
    <w:p w:rsidR="008E2C87" w:rsidRDefault="008E2C87"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3. Evaluation of the quantitative and qualitative indicators of the candidate</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Chief Assistant Dr. 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presented himself at the competition with a total of 38 scientific papers and </w:t>
      </w:r>
      <w:proofErr w:type="gramStart"/>
      <w:r w:rsidRPr="00885B9F">
        <w:rPr>
          <w:rFonts w:ascii="Times New Roman" w:hAnsi="Times New Roman" w:cs="Times New Roman"/>
        </w:rPr>
        <w:t>one</w:t>
      </w:r>
      <w:proofErr w:type="gramEnd"/>
      <w:r w:rsidRPr="00885B9F">
        <w:rPr>
          <w:rFonts w:ascii="Times New Roman" w:hAnsi="Times New Roman" w:cs="Times New Roman"/>
        </w:rPr>
        <w:t xml:space="preserve"> dissertation for the educational and scientific degree "</w:t>
      </w:r>
      <w:r w:rsidR="008E2C87">
        <w:rPr>
          <w:rFonts w:ascii="Times New Roman" w:hAnsi="Times New Roman" w:cs="Times New Roman"/>
        </w:rPr>
        <w:t>PhD</w:t>
      </w:r>
      <w:r w:rsidRPr="00885B9F">
        <w:rPr>
          <w:rFonts w:ascii="Times New Roman" w:hAnsi="Times New Roman" w:cs="Times New Roman"/>
        </w:rPr>
        <w:t xml:space="preserve">". The candidate is the author of </w:t>
      </w:r>
      <w:proofErr w:type="gramStart"/>
      <w:r w:rsidRPr="00885B9F">
        <w:rPr>
          <w:rFonts w:ascii="Times New Roman" w:hAnsi="Times New Roman" w:cs="Times New Roman"/>
        </w:rPr>
        <w:t>1</w:t>
      </w:r>
      <w:proofErr w:type="gramEnd"/>
      <w:r w:rsidRPr="00885B9F">
        <w:rPr>
          <w:rFonts w:ascii="Times New Roman" w:hAnsi="Times New Roman" w:cs="Times New Roman"/>
        </w:rPr>
        <w:t xml:space="preserve"> independent monograph and co-author of 2 others, 2 scientific manuals, 33 scientific articles in peer-reviewed scientific journa</w:t>
      </w:r>
      <w:r w:rsidR="008E2C87">
        <w:rPr>
          <w:rFonts w:ascii="Times New Roman" w:hAnsi="Times New Roman" w:cs="Times New Roman"/>
        </w:rPr>
        <w:t>ls and 25 scientific reports</w:t>
      </w:r>
      <w:r w:rsidRPr="00885B9F">
        <w:rPr>
          <w:rFonts w:ascii="Times New Roman" w:hAnsi="Times New Roman" w:cs="Times New Roman"/>
        </w:rPr>
        <w:t>. Of the 33 scientific articles published for review, 30 are in Bulgarian and 3 in an international scientific journal indexed in the Scopus database and has an impact factor. The total impact factor amounts to 19,865.</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is an independent author of </w:t>
      </w:r>
      <w:proofErr w:type="gramStart"/>
      <w:r w:rsidRPr="00885B9F">
        <w:rPr>
          <w:rFonts w:ascii="Times New Roman" w:hAnsi="Times New Roman" w:cs="Times New Roman"/>
        </w:rPr>
        <w:t>1</w:t>
      </w:r>
      <w:proofErr w:type="gramEnd"/>
      <w:r w:rsidRPr="00885B9F">
        <w:rPr>
          <w:rFonts w:ascii="Times New Roman" w:hAnsi="Times New Roman" w:cs="Times New Roman"/>
        </w:rPr>
        <w:t xml:space="preserve"> monograph in Bulgarian and co-author of two, also in Bulgarian, co-author of 2 scientific manuals for gastroenterologists and specialists. In 14 of the </w:t>
      </w:r>
      <w:proofErr w:type="gramStart"/>
      <w:r w:rsidRPr="00885B9F">
        <w:rPr>
          <w:rFonts w:ascii="Times New Roman" w:hAnsi="Times New Roman" w:cs="Times New Roman"/>
        </w:rPr>
        <w:t>articles</w:t>
      </w:r>
      <w:proofErr w:type="gramEnd"/>
      <w:r w:rsidRPr="00885B9F">
        <w:rPr>
          <w:rFonts w:ascii="Times New Roman" w:hAnsi="Times New Roman" w:cs="Times New Roman"/>
        </w:rPr>
        <w:t xml:space="preserve">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is the first or independent author (49.8%). The scientific activity of the candidate includes 25 scientific reports and announcements presented in Bulgarian and international scientific forums. In 12 of </w:t>
      </w:r>
      <w:proofErr w:type="gramStart"/>
      <w:r w:rsidRPr="00885B9F">
        <w:rPr>
          <w:rFonts w:ascii="Times New Roman" w:hAnsi="Times New Roman" w:cs="Times New Roman"/>
        </w:rPr>
        <w:t>them</w:t>
      </w:r>
      <w:proofErr w:type="gramEnd"/>
      <w:r w:rsidRPr="00885B9F">
        <w:rPr>
          <w:rFonts w:ascii="Times New Roman" w:hAnsi="Times New Roman" w:cs="Times New Roman"/>
        </w:rPr>
        <w:t xml:space="preserve"> he is the first author (48%) and reporter. The citations (according to the references from CMB - Scopus, Web of Science) are </w:t>
      </w:r>
      <w:proofErr w:type="gramStart"/>
      <w:r w:rsidRPr="00885B9F">
        <w:rPr>
          <w:rFonts w:ascii="Times New Roman" w:hAnsi="Times New Roman" w:cs="Times New Roman"/>
        </w:rPr>
        <w:t>a total of 237</w:t>
      </w:r>
      <w:proofErr w:type="gramEnd"/>
      <w:r w:rsidRPr="00885B9F">
        <w:rPr>
          <w:rFonts w:ascii="Times New Roman" w:hAnsi="Times New Roman" w:cs="Times New Roman"/>
        </w:rPr>
        <w:t xml:space="preserve"> (17 Bulgarian citations; Scopus -115; Web of Science - 102; other databases - 3)</w:t>
      </w:r>
    </w:p>
    <w:p w:rsidR="008E2C87" w:rsidRDefault="008E2C87" w:rsidP="00885B9F">
      <w:pPr>
        <w:jc w:val="both"/>
        <w:rPr>
          <w:rFonts w:ascii="Times New Roman" w:hAnsi="Times New Roman" w:cs="Times New Roman"/>
        </w:rPr>
      </w:pPr>
    </w:p>
    <w:tbl>
      <w:tblPr>
        <w:tblStyle w:val="TableGrid"/>
        <w:tblW w:w="5000" w:type="pct"/>
        <w:tblLook w:val="04A0" w:firstRow="1" w:lastRow="0" w:firstColumn="1" w:lastColumn="0" w:noHBand="0" w:noVBand="1"/>
      </w:tblPr>
      <w:tblGrid>
        <w:gridCol w:w="1267"/>
        <w:gridCol w:w="2052"/>
        <w:gridCol w:w="4547"/>
        <w:gridCol w:w="1196"/>
      </w:tblGrid>
      <w:tr w:rsidR="008E2C87" w:rsidRPr="0070271B" w:rsidTr="00A966CA">
        <w:tc>
          <w:tcPr>
            <w:tcW w:w="699" w:type="pct"/>
          </w:tcPr>
          <w:p w:rsidR="008E2C87" w:rsidRPr="0070271B" w:rsidRDefault="00EA6EA0" w:rsidP="00A966CA">
            <w:pPr>
              <w:spacing w:line="360" w:lineRule="auto"/>
              <w:jc w:val="both"/>
              <w:rPr>
                <w:b/>
              </w:rPr>
            </w:pPr>
            <w:r w:rsidRPr="00885B9F">
              <w:rPr>
                <w:rFonts w:ascii="Times New Roman" w:hAnsi="Times New Roman" w:cs="Times New Roman"/>
              </w:rPr>
              <w:t>Group of indicators</w:t>
            </w:r>
          </w:p>
        </w:tc>
        <w:tc>
          <w:tcPr>
            <w:tcW w:w="1132" w:type="pct"/>
          </w:tcPr>
          <w:p w:rsidR="008E2C87" w:rsidRPr="0070271B" w:rsidRDefault="00EA6EA0" w:rsidP="00A966CA">
            <w:pPr>
              <w:spacing w:line="360" w:lineRule="auto"/>
              <w:jc w:val="both"/>
              <w:rPr>
                <w:b/>
              </w:rPr>
            </w:pPr>
            <w:r w:rsidRPr="00885B9F">
              <w:rPr>
                <w:rFonts w:ascii="Times New Roman" w:hAnsi="Times New Roman" w:cs="Times New Roman"/>
              </w:rPr>
              <w:t>Content</w:t>
            </w:r>
          </w:p>
        </w:tc>
        <w:tc>
          <w:tcPr>
            <w:tcW w:w="2509" w:type="pct"/>
          </w:tcPr>
          <w:p w:rsidR="008E2C87" w:rsidRPr="0070271B" w:rsidRDefault="00EA6EA0" w:rsidP="00A966CA">
            <w:pPr>
              <w:spacing w:line="360" w:lineRule="auto"/>
              <w:jc w:val="both"/>
              <w:rPr>
                <w:b/>
              </w:rPr>
            </w:pPr>
            <w:r w:rsidRPr="00885B9F">
              <w:rPr>
                <w:rFonts w:ascii="Times New Roman" w:hAnsi="Times New Roman" w:cs="Times New Roman"/>
              </w:rPr>
              <w:t>Requirements for Associate Professor</w:t>
            </w:r>
          </w:p>
        </w:tc>
        <w:tc>
          <w:tcPr>
            <w:tcW w:w="660" w:type="pct"/>
          </w:tcPr>
          <w:p w:rsidR="00EA6EA0" w:rsidRPr="00885B9F" w:rsidRDefault="00EA6EA0" w:rsidP="00EA6EA0">
            <w:pPr>
              <w:jc w:val="both"/>
              <w:rPr>
                <w:rFonts w:ascii="Times New Roman" w:hAnsi="Times New Roman" w:cs="Times New Roman"/>
              </w:rPr>
            </w:pPr>
            <w:r w:rsidRPr="00885B9F">
              <w:rPr>
                <w:rFonts w:ascii="Times New Roman" w:hAnsi="Times New Roman" w:cs="Times New Roman"/>
              </w:rPr>
              <w:t>Points of the candidate</w:t>
            </w:r>
          </w:p>
          <w:p w:rsidR="008E2C87" w:rsidRPr="0070271B" w:rsidRDefault="008E2C87" w:rsidP="00A966CA">
            <w:pPr>
              <w:spacing w:line="360" w:lineRule="auto"/>
              <w:jc w:val="both"/>
              <w:rPr>
                <w:b/>
              </w:rPr>
            </w:pPr>
          </w:p>
        </w:tc>
      </w:tr>
      <w:tr w:rsidR="008E2C87" w:rsidRPr="0070271B" w:rsidTr="00A966CA">
        <w:tc>
          <w:tcPr>
            <w:tcW w:w="699" w:type="pct"/>
          </w:tcPr>
          <w:p w:rsidR="008E2C87" w:rsidRPr="0070271B" w:rsidRDefault="008E2C87" w:rsidP="00A966CA">
            <w:pPr>
              <w:spacing w:line="360" w:lineRule="auto"/>
              <w:jc w:val="both"/>
            </w:pPr>
            <w:r w:rsidRPr="0070271B">
              <w:rPr>
                <w:rFonts w:ascii="Cambria" w:hAnsi="Cambria" w:cs="Cambria"/>
              </w:rPr>
              <w:t>А</w:t>
            </w:r>
          </w:p>
        </w:tc>
        <w:tc>
          <w:tcPr>
            <w:tcW w:w="1132" w:type="pct"/>
          </w:tcPr>
          <w:p w:rsidR="008E2C87" w:rsidRPr="0070271B" w:rsidRDefault="00EA6EA0" w:rsidP="00A966CA">
            <w:pPr>
              <w:spacing w:line="360" w:lineRule="auto"/>
              <w:jc w:val="both"/>
            </w:pPr>
            <w:r w:rsidRPr="00885B9F">
              <w:rPr>
                <w:rFonts w:ascii="Times New Roman" w:hAnsi="Times New Roman" w:cs="Times New Roman"/>
              </w:rPr>
              <w:t>Indicator 1</w:t>
            </w:r>
          </w:p>
        </w:tc>
        <w:tc>
          <w:tcPr>
            <w:tcW w:w="2509" w:type="pct"/>
          </w:tcPr>
          <w:p w:rsidR="008E2C87" w:rsidRPr="0070271B" w:rsidRDefault="008E2C87" w:rsidP="00A966CA">
            <w:pPr>
              <w:spacing w:line="360" w:lineRule="auto"/>
              <w:jc w:val="both"/>
            </w:pPr>
            <w:r w:rsidRPr="0070271B">
              <w:t>50</w:t>
            </w:r>
          </w:p>
        </w:tc>
        <w:tc>
          <w:tcPr>
            <w:tcW w:w="660" w:type="pct"/>
          </w:tcPr>
          <w:p w:rsidR="008E2C87" w:rsidRPr="0070271B" w:rsidRDefault="008E2C87" w:rsidP="00A966CA">
            <w:pPr>
              <w:spacing w:line="360" w:lineRule="auto"/>
              <w:jc w:val="both"/>
              <w:rPr>
                <w:b/>
                <w:color w:val="0070C0"/>
              </w:rPr>
            </w:pPr>
            <w:r w:rsidRPr="0070271B">
              <w:rPr>
                <w:b/>
                <w:color w:val="0070C0"/>
              </w:rPr>
              <w:t>50</w:t>
            </w:r>
          </w:p>
        </w:tc>
      </w:tr>
      <w:tr w:rsidR="008E2C87" w:rsidRPr="0070271B" w:rsidTr="00A966CA">
        <w:tc>
          <w:tcPr>
            <w:tcW w:w="699" w:type="pct"/>
          </w:tcPr>
          <w:p w:rsidR="008E2C87" w:rsidRPr="0070271B" w:rsidRDefault="008E2C87" w:rsidP="00A966CA">
            <w:pPr>
              <w:spacing w:line="360" w:lineRule="auto"/>
              <w:jc w:val="both"/>
            </w:pPr>
            <w:r w:rsidRPr="0070271B">
              <w:rPr>
                <w:rFonts w:ascii="Cambria" w:hAnsi="Cambria" w:cs="Cambria"/>
              </w:rPr>
              <w:t>Б</w:t>
            </w:r>
          </w:p>
        </w:tc>
        <w:tc>
          <w:tcPr>
            <w:tcW w:w="1132" w:type="pct"/>
          </w:tcPr>
          <w:p w:rsidR="008E2C87" w:rsidRPr="0070271B" w:rsidRDefault="00EA6EA0" w:rsidP="00A966CA">
            <w:pPr>
              <w:spacing w:line="360" w:lineRule="auto"/>
              <w:jc w:val="both"/>
            </w:pPr>
            <w:r w:rsidRPr="00885B9F">
              <w:rPr>
                <w:rFonts w:ascii="Times New Roman" w:hAnsi="Times New Roman" w:cs="Times New Roman"/>
              </w:rPr>
              <w:t>Indicator 1</w:t>
            </w:r>
          </w:p>
        </w:tc>
        <w:tc>
          <w:tcPr>
            <w:tcW w:w="2509" w:type="pct"/>
          </w:tcPr>
          <w:p w:rsidR="008E2C87" w:rsidRPr="0070271B" w:rsidRDefault="008E2C87" w:rsidP="00A966CA">
            <w:pPr>
              <w:spacing w:line="360" w:lineRule="auto"/>
              <w:jc w:val="both"/>
            </w:pPr>
            <w:r w:rsidRPr="0070271B">
              <w:t>---</w:t>
            </w:r>
          </w:p>
        </w:tc>
        <w:tc>
          <w:tcPr>
            <w:tcW w:w="660" w:type="pct"/>
          </w:tcPr>
          <w:p w:rsidR="008E2C87" w:rsidRPr="0070271B" w:rsidRDefault="008E2C87" w:rsidP="00A966CA">
            <w:pPr>
              <w:spacing w:line="360" w:lineRule="auto"/>
              <w:jc w:val="both"/>
              <w:rPr>
                <w:b/>
                <w:color w:val="0070C0"/>
              </w:rPr>
            </w:pPr>
            <w:r w:rsidRPr="0070271B">
              <w:rPr>
                <w:b/>
                <w:color w:val="0070C0"/>
              </w:rPr>
              <w:t>---</w:t>
            </w:r>
          </w:p>
        </w:tc>
      </w:tr>
      <w:tr w:rsidR="008E2C87" w:rsidRPr="0070271B" w:rsidTr="00A966CA">
        <w:trPr>
          <w:trHeight w:val="236"/>
        </w:trPr>
        <w:tc>
          <w:tcPr>
            <w:tcW w:w="699" w:type="pct"/>
          </w:tcPr>
          <w:p w:rsidR="008E2C87" w:rsidRPr="0070271B" w:rsidRDefault="008E2C87" w:rsidP="00A966CA">
            <w:pPr>
              <w:spacing w:line="360" w:lineRule="auto"/>
              <w:jc w:val="both"/>
            </w:pPr>
            <w:r w:rsidRPr="0070271B">
              <w:rPr>
                <w:rFonts w:ascii="Cambria" w:hAnsi="Cambria" w:cs="Cambria"/>
              </w:rPr>
              <w:t>В</w:t>
            </w:r>
          </w:p>
        </w:tc>
        <w:tc>
          <w:tcPr>
            <w:tcW w:w="1132" w:type="pct"/>
          </w:tcPr>
          <w:p w:rsidR="008E2C87" w:rsidRPr="0070271B" w:rsidRDefault="00EA6EA0" w:rsidP="00A966CA">
            <w:pPr>
              <w:spacing w:line="360" w:lineRule="auto"/>
              <w:jc w:val="both"/>
            </w:pPr>
            <w:r w:rsidRPr="00885B9F">
              <w:rPr>
                <w:rFonts w:ascii="Times New Roman" w:hAnsi="Times New Roman" w:cs="Times New Roman"/>
              </w:rPr>
              <w:t>In Indicator 3 or 4</w:t>
            </w:r>
          </w:p>
        </w:tc>
        <w:tc>
          <w:tcPr>
            <w:tcW w:w="2509" w:type="pct"/>
          </w:tcPr>
          <w:p w:rsidR="008E2C87" w:rsidRPr="0070271B" w:rsidRDefault="008E2C87" w:rsidP="00A966CA">
            <w:pPr>
              <w:spacing w:line="360" w:lineRule="auto"/>
              <w:jc w:val="both"/>
            </w:pPr>
            <w:r w:rsidRPr="0070271B">
              <w:t>100</w:t>
            </w:r>
          </w:p>
          <w:p w:rsidR="008E2C87" w:rsidRPr="0070271B" w:rsidRDefault="008E2C87" w:rsidP="00A966CA">
            <w:pPr>
              <w:spacing w:line="360" w:lineRule="auto"/>
              <w:jc w:val="both"/>
            </w:pPr>
          </w:p>
        </w:tc>
        <w:tc>
          <w:tcPr>
            <w:tcW w:w="660" w:type="pct"/>
          </w:tcPr>
          <w:p w:rsidR="008E2C87" w:rsidRPr="0070271B" w:rsidRDefault="008E2C87" w:rsidP="00A966CA">
            <w:pPr>
              <w:spacing w:line="360" w:lineRule="auto"/>
              <w:jc w:val="both"/>
              <w:rPr>
                <w:b/>
                <w:color w:val="0070C0"/>
              </w:rPr>
            </w:pPr>
            <w:r w:rsidRPr="0070271B">
              <w:rPr>
                <w:b/>
                <w:color w:val="0070C0"/>
              </w:rPr>
              <w:t>100</w:t>
            </w:r>
          </w:p>
        </w:tc>
      </w:tr>
      <w:tr w:rsidR="008E2C87" w:rsidRPr="0070271B" w:rsidTr="00A966CA">
        <w:tc>
          <w:tcPr>
            <w:tcW w:w="699" w:type="pct"/>
          </w:tcPr>
          <w:p w:rsidR="008E2C87" w:rsidRPr="0070271B" w:rsidRDefault="008E2C87" w:rsidP="00A966CA">
            <w:pPr>
              <w:spacing w:line="360" w:lineRule="auto"/>
              <w:jc w:val="both"/>
            </w:pPr>
            <w:r w:rsidRPr="0070271B">
              <w:rPr>
                <w:rFonts w:ascii="Cambria" w:hAnsi="Cambria" w:cs="Cambria"/>
              </w:rPr>
              <w:t>Г</w:t>
            </w:r>
          </w:p>
        </w:tc>
        <w:tc>
          <w:tcPr>
            <w:tcW w:w="1132" w:type="pct"/>
          </w:tcPr>
          <w:p w:rsidR="008E2C87" w:rsidRPr="0070271B" w:rsidRDefault="00EA6EA0" w:rsidP="00A966CA">
            <w:pPr>
              <w:spacing w:line="360" w:lineRule="auto"/>
              <w:jc w:val="both"/>
            </w:pPr>
            <w:r w:rsidRPr="00885B9F">
              <w:rPr>
                <w:rFonts w:ascii="Times New Roman" w:hAnsi="Times New Roman" w:cs="Times New Roman"/>
              </w:rPr>
              <w:t>Sum of indicators from 5 to 9</w:t>
            </w:r>
          </w:p>
        </w:tc>
        <w:tc>
          <w:tcPr>
            <w:tcW w:w="2509" w:type="pct"/>
          </w:tcPr>
          <w:p w:rsidR="008E2C87" w:rsidRPr="0070271B" w:rsidRDefault="008E2C87" w:rsidP="00A966CA">
            <w:pPr>
              <w:spacing w:line="360" w:lineRule="auto"/>
              <w:jc w:val="both"/>
            </w:pPr>
            <w:r w:rsidRPr="0070271B">
              <w:t>200</w:t>
            </w:r>
          </w:p>
        </w:tc>
        <w:tc>
          <w:tcPr>
            <w:tcW w:w="660" w:type="pct"/>
          </w:tcPr>
          <w:p w:rsidR="008E2C87" w:rsidRPr="0070271B" w:rsidRDefault="008E2C87" w:rsidP="00A966CA">
            <w:pPr>
              <w:spacing w:line="360" w:lineRule="auto"/>
              <w:jc w:val="both"/>
              <w:rPr>
                <w:b/>
                <w:color w:val="0070C0"/>
              </w:rPr>
            </w:pPr>
            <w:r w:rsidRPr="0070271B">
              <w:rPr>
                <w:b/>
                <w:color w:val="0070C0"/>
              </w:rPr>
              <w:t>534.7</w:t>
            </w:r>
          </w:p>
        </w:tc>
      </w:tr>
      <w:tr w:rsidR="008E2C87" w:rsidRPr="0070271B" w:rsidTr="00A966CA">
        <w:tc>
          <w:tcPr>
            <w:tcW w:w="699" w:type="pct"/>
          </w:tcPr>
          <w:p w:rsidR="008E2C87" w:rsidRPr="0070271B" w:rsidRDefault="008E2C87" w:rsidP="00A966CA">
            <w:pPr>
              <w:spacing w:line="360" w:lineRule="auto"/>
              <w:jc w:val="both"/>
            </w:pPr>
            <w:r w:rsidRPr="0070271B">
              <w:rPr>
                <w:rFonts w:ascii="Cambria" w:hAnsi="Cambria" w:cs="Cambria"/>
              </w:rPr>
              <w:t>Д</w:t>
            </w:r>
          </w:p>
        </w:tc>
        <w:tc>
          <w:tcPr>
            <w:tcW w:w="1132" w:type="pct"/>
          </w:tcPr>
          <w:p w:rsidR="008E2C87" w:rsidRPr="0070271B" w:rsidRDefault="00EA6EA0" w:rsidP="00A966CA">
            <w:pPr>
              <w:spacing w:line="360" w:lineRule="auto"/>
              <w:jc w:val="both"/>
            </w:pPr>
            <w:r w:rsidRPr="00885B9F">
              <w:rPr>
                <w:rFonts w:ascii="Times New Roman" w:hAnsi="Times New Roman" w:cs="Times New Roman"/>
              </w:rPr>
              <w:t>Sum of indicators from 10 to 12</w:t>
            </w:r>
          </w:p>
        </w:tc>
        <w:tc>
          <w:tcPr>
            <w:tcW w:w="2509" w:type="pct"/>
          </w:tcPr>
          <w:p w:rsidR="008E2C87" w:rsidRPr="0070271B" w:rsidRDefault="008E2C87" w:rsidP="00A966CA">
            <w:pPr>
              <w:spacing w:line="360" w:lineRule="auto"/>
              <w:jc w:val="both"/>
            </w:pPr>
            <w:r w:rsidRPr="0070271B">
              <w:t>50</w:t>
            </w:r>
          </w:p>
          <w:p w:rsidR="008E2C87" w:rsidRPr="0070271B" w:rsidRDefault="008E2C87" w:rsidP="00A966CA">
            <w:pPr>
              <w:spacing w:line="360" w:lineRule="auto"/>
              <w:jc w:val="both"/>
            </w:pPr>
          </w:p>
        </w:tc>
        <w:tc>
          <w:tcPr>
            <w:tcW w:w="660" w:type="pct"/>
          </w:tcPr>
          <w:p w:rsidR="008E2C87" w:rsidRPr="0070271B" w:rsidRDefault="008E2C87" w:rsidP="00A966CA">
            <w:pPr>
              <w:spacing w:line="360" w:lineRule="auto"/>
              <w:jc w:val="both"/>
              <w:rPr>
                <w:b/>
                <w:color w:val="0070C0"/>
              </w:rPr>
            </w:pPr>
            <w:r w:rsidRPr="0070271B">
              <w:rPr>
                <w:b/>
                <w:color w:val="0070C0"/>
              </w:rPr>
              <w:t>1725</w:t>
            </w:r>
          </w:p>
        </w:tc>
      </w:tr>
    </w:tbl>
    <w:p w:rsidR="008E2C87" w:rsidRPr="00123677" w:rsidRDefault="008E2C87" w:rsidP="008E2C87">
      <w:pPr>
        <w:spacing w:line="360" w:lineRule="auto"/>
        <w:ind w:firstLine="720"/>
        <w:jc w:val="both"/>
        <w:rPr>
          <w:rFonts w:ascii="Times New Roman" w:hAnsi="Times New Roman" w:cs="Times New Roman"/>
          <w:lang w:val="bg-BG"/>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A6EA0" w:rsidRPr="00885B9F">
        <w:rPr>
          <w:rFonts w:ascii="Times New Roman" w:hAnsi="Times New Roman" w:cs="Times New Roman"/>
        </w:rPr>
        <w:t>Total</w:t>
      </w:r>
      <w:proofErr w:type="gramStart"/>
      <w:r w:rsidR="00EA6EA0" w:rsidRPr="00885B9F">
        <w:rPr>
          <w:rFonts w:ascii="Times New Roman" w:hAnsi="Times New Roman" w:cs="Times New Roman"/>
        </w:rPr>
        <w:t>:</w:t>
      </w:r>
      <w:r w:rsidR="00EA6EA0">
        <w:rPr>
          <w:rFonts w:ascii="Times New Roman" w:hAnsi="Times New Roman" w:cs="Times New Roman"/>
        </w:rPr>
        <w:t>400</w:t>
      </w:r>
      <w:proofErr w:type="gramEnd"/>
      <w:r>
        <w:rPr>
          <w:rFonts w:ascii="Times New Roman" w:hAnsi="Times New Roman" w:cs="Times New Roman"/>
          <w:lang w:val="bg-BG"/>
        </w:rPr>
        <w:tab/>
      </w:r>
      <w:r>
        <w:rPr>
          <w:rFonts w:ascii="Times New Roman" w:hAnsi="Times New Roman" w:cs="Times New Roman"/>
          <w:lang w:val="bg-BG"/>
        </w:rPr>
        <w:tab/>
      </w:r>
      <w:r>
        <w:rPr>
          <w:rFonts w:ascii="Times New Roman" w:hAnsi="Times New Roman" w:cs="Times New Roman"/>
          <w:lang w:val="bg-BG"/>
        </w:rPr>
        <w:tab/>
      </w:r>
      <w:r w:rsidR="00EA6EA0" w:rsidRPr="00885B9F">
        <w:rPr>
          <w:rFonts w:ascii="Times New Roman" w:hAnsi="Times New Roman" w:cs="Times New Roman"/>
        </w:rPr>
        <w:t>Total for the candidate</w:t>
      </w:r>
      <w:r>
        <w:rPr>
          <w:rFonts w:ascii="Times New Roman" w:hAnsi="Times New Roman" w:cs="Times New Roman"/>
          <w:lang w:val="bg-BG"/>
        </w:rPr>
        <w:t>:</w:t>
      </w:r>
      <w:r w:rsidRPr="00123677">
        <w:rPr>
          <w:rFonts w:ascii="Times New Roman" w:hAnsi="Times New Roman" w:cs="Times New Roman"/>
          <w:b/>
          <w:bCs/>
          <w:color w:val="8496B0" w:themeColor="text2" w:themeTint="99"/>
          <w:lang w:val="bg-BG"/>
        </w:rPr>
        <w:t>2459</w:t>
      </w:r>
    </w:p>
    <w:p w:rsidR="008E2C87" w:rsidRDefault="008E2C87"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The comparison of Dr. </w:t>
      </w:r>
      <w:proofErr w:type="spellStart"/>
      <w:r w:rsidRPr="00885B9F">
        <w:rPr>
          <w:rFonts w:ascii="Times New Roman" w:hAnsi="Times New Roman" w:cs="Times New Roman"/>
        </w:rPr>
        <w:t>Tsonev's</w:t>
      </w:r>
      <w:proofErr w:type="spellEnd"/>
      <w:r w:rsidRPr="00885B9F">
        <w:rPr>
          <w:rFonts w:ascii="Times New Roman" w:hAnsi="Times New Roman" w:cs="Times New Roman"/>
        </w:rPr>
        <w:t xml:space="preserve"> data with the national minimum requirements for holding the academic position of "Associate Professor" shows that he covers them, and in a number of points exceeds them.</w:t>
      </w:r>
    </w:p>
    <w:p w:rsidR="00EA6EA0" w:rsidRDefault="00EA6EA0"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4. Major scientific contributions</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w:t>
      </w:r>
      <w:proofErr w:type="spellStart"/>
      <w:r w:rsidRPr="00885B9F">
        <w:rPr>
          <w:rFonts w:ascii="Times New Roman" w:hAnsi="Times New Roman" w:cs="Times New Roman"/>
        </w:rPr>
        <w:t>Tsonev's</w:t>
      </w:r>
      <w:proofErr w:type="spellEnd"/>
      <w:r w:rsidRPr="00885B9F">
        <w:rPr>
          <w:rFonts w:ascii="Times New Roman" w:hAnsi="Times New Roman" w:cs="Times New Roman"/>
        </w:rPr>
        <w:t xml:space="preserve"> scientific contributions are diverse and affect various gastrointestinal pathologies of diseases, their diagnosis and treatment. </w:t>
      </w:r>
      <w:proofErr w:type="gramStart"/>
      <w:r w:rsidRPr="00885B9F">
        <w:rPr>
          <w:rFonts w:ascii="Times New Roman" w:hAnsi="Times New Roman" w:cs="Times New Roman"/>
        </w:rPr>
        <w:t xml:space="preserve">There are three main areas in which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mainly focused his research interests - general gastroenterology, </w:t>
      </w:r>
      <w:proofErr w:type="spellStart"/>
      <w:r w:rsidRPr="00885B9F">
        <w:rPr>
          <w:rFonts w:ascii="Times New Roman" w:hAnsi="Times New Roman" w:cs="Times New Roman"/>
        </w:rPr>
        <w:t>hepatology</w:t>
      </w:r>
      <w:proofErr w:type="spellEnd"/>
      <w:r w:rsidRPr="00885B9F">
        <w:rPr>
          <w:rFonts w:ascii="Times New Roman" w:hAnsi="Times New Roman" w:cs="Times New Roman"/>
        </w:rPr>
        <w:t xml:space="preserve"> and psychosomatic medicine.</w:t>
      </w:r>
      <w:proofErr w:type="gramEnd"/>
    </w:p>
    <w:p w:rsidR="00885B9F" w:rsidRDefault="00885B9F" w:rsidP="00885B9F">
      <w:pPr>
        <w:jc w:val="both"/>
        <w:rPr>
          <w:rFonts w:ascii="Times New Roman" w:hAnsi="Times New Roman" w:cs="Times New Roman"/>
        </w:rPr>
      </w:pPr>
      <w:r w:rsidRPr="00885B9F">
        <w:rPr>
          <w:rFonts w:ascii="Times New Roman" w:hAnsi="Times New Roman" w:cs="Times New Roman"/>
        </w:rPr>
        <w:lastRenderedPageBreak/>
        <w:t xml:space="preserve">In the field of gastroenterology,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in a series of scientific publications has examined the problems of acid-related diseases, functional dyspepsia, reflux disease and </w:t>
      </w:r>
      <w:proofErr w:type="spellStart"/>
      <w:r w:rsidRPr="00885B9F">
        <w:rPr>
          <w:rFonts w:ascii="Times New Roman" w:hAnsi="Times New Roman" w:cs="Times New Roman"/>
        </w:rPr>
        <w:t>cholecystokinetic</w:t>
      </w:r>
      <w:proofErr w:type="spellEnd"/>
      <w:r w:rsidRPr="00885B9F">
        <w:rPr>
          <w:rFonts w:ascii="Times New Roman" w:hAnsi="Times New Roman" w:cs="Times New Roman"/>
        </w:rPr>
        <w:t xml:space="preserve"> problems in some diseases. Articles dedicated to the current assessment of the individual microbiota, its role in the development of diarrhea are especially relevant.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described and published a rare case of atypical familial Mediterranean fever and differential and diagnosis of Crohn's disease. Of particular interest to me is the unique for Bulgaria technology, introduced by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and co-workers, for the treatment of ascites refractory </w:t>
      </w:r>
      <w:proofErr w:type="gramStart"/>
      <w:r w:rsidRPr="00885B9F">
        <w:rPr>
          <w:rFonts w:ascii="Times New Roman" w:hAnsi="Times New Roman" w:cs="Times New Roman"/>
        </w:rPr>
        <w:t>to diuretic treatment in patients with malignant diseases with devices specially designed for this procedure</w:t>
      </w:r>
      <w:proofErr w:type="gramEnd"/>
      <w:r w:rsidRPr="00885B9F">
        <w:rPr>
          <w:rFonts w:ascii="Times New Roman" w:hAnsi="Times New Roman" w:cs="Times New Roman"/>
        </w:rPr>
        <w:t xml:space="preserve">. The method </w:t>
      </w:r>
      <w:proofErr w:type="gramStart"/>
      <w:r w:rsidRPr="00885B9F">
        <w:rPr>
          <w:rFonts w:ascii="Times New Roman" w:hAnsi="Times New Roman" w:cs="Times New Roman"/>
        </w:rPr>
        <w:t>has been used</w:t>
      </w:r>
      <w:proofErr w:type="gramEnd"/>
      <w:r w:rsidRPr="00885B9F">
        <w:rPr>
          <w:rFonts w:ascii="Times New Roman" w:hAnsi="Times New Roman" w:cs="Times New Roman"/>
        </w:rPr>
        <w:t xml:space="preserve"> in over 120 patients with complications of cancer with concomitant carcinoma of the peritoneum and is a convenient and reliable alternative to paracentesis.</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 In the field of </w:t>
      </w:r>
      <w:proofErr w:type="spellStart"/>
      <w:r w:rsidRPr="00885B9F">
        <w:rPr>
          <w:rFonts w:ascii="Times New Roman" w:hAnsi="Times New Roman" w:cs="Times New Roman"/>
        </w:rPr>
        <w:t>hepatology</w:t>
      </w:r>
      <w:proofErr w:type="spellEnd"/>
      <w:r w:rsidRPr="00885B9F">
        <w:rPr>
          <w:rFonts w:ascii="Times New Roman" w:hAnsi="Times New Roman" w:cs="Times New Roman"/>
        </w:rPr>
        <w:t xml:space="preserve">,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long and lasting scientific interests and you correspond to this number of scientific publications and communications. Impressive is the fact that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contributed to the introduction and validation of non-invasive diagnosis of chronic liver disease through transient </w:t>
      </w:r>
      <w:proofErr w:type="spellStart"/>
      <w:r w:rsidRPr="00885B9F">
        <w:rPr>
          <w:rFonts w:ascii="Times New Roman" w:hAnsi="Times New Roman" w:cs="Times New Roman"/>
        </w:rPr>
        <w:t>elastography</w:t>
      </w:r>
      <w:proofErr w:type="spellEnd"/>
      <w:r w:rsidRPr="00885B9F">
        <w:rPr>
          <w:rFonts w:ascii="Times New Roman" w:hAnsi="Times New Roman" w:cs="Times New Roman"/>
        </w:rPr>
        <w:t xml:space="preserve"> in Bulgaria and the associated elimination of the need for liver biopsy for the diagnosis of hepatitis-C. On the other hand, completely in the context of the high gastroenterological competence of the candidate,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has many years of experience with invasive diagnosis in patients with autoimmune liver disease, non-alcoholic steatosis, patients with primary liver cancer and metastatic liver disease</w:t>
      </w:r>
      <w:r w:rsidR="00EA6EA0">
        <w:rPr>
          <w:rFonts w:ascii="Times New Roman" w:hAnsi="Times New Roman" w:cs="Times New Roman"/>
        </w:rPr>
        <w:t xml:space="preserve">, </w:t>
      </w:r>
      <w:r w:rsidRPr="00885B9F">
        <w:rPr>
          <w:rFonts w:ascii="Times New Roman" w:hAnsi="Times New Roman" w:cs="Times New Roman"/>
        </w:rPr>
        <w:t xml:space="preserve">of drainage manipulations of abscesses in the liver. An interesting specificity for me in the scientific production of the candidate is the studies of the specific hepatotoxicity of antiretroviral treatment of HIV-infected patients. Together with a team of infectious disease specialists,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is a co-author of a significant publication in the International Journal of STD &amp; AIDS, and the authors' conclusions have led to the development and updating of algorithms and consensus for therapeutic behavior in these patient populations.</w:t>
      </w:r>
    </w:p>
    <w:p w:rsidR="00885B9F" w:rsidRPr="00885B9F" w:rsidRDefault="00EA6EA0" w:rsidP="00885B9F">
      <w:pPr>
        <w:jc w:val="both"/>
        <w:rPr>
          <w:rFonts w:ascii="Times New Roman" w:hAnsi="Times New Roman" w:cs="Times New Roman"/>
        </w:rPr>
      </w:pPr>
      <w:r>
        <w:rPr>
          <w:rFonts w:ascii="Times New Roman" w:hAnsi="Times New Roman" w:cs="Times New Roman"/>
        </w:rPr>
        <w:t xml:space="preserve">- </w:t>
      </w:r>
      <w:r w:rsidR="00885B9F" w:rsidRPr="00885B9F">
        <w:rPr>
          <w:rFonts w:ascii="Times New Roman" w:hAnsi="Times New Roman" w:cs="Times New Roman"/>
        </w:rPr>
        <w:t xml:space="preserve">In the third field in which the candidate of psychosomatic medicine works, the co-authorship of Dr. </w:t>
      </w:r>
      <w:proofErr w:type="spellStart"/>
      <w:r w:rsidR="00885B9F" w:rsidRPr="00885B9F">
        <w:rPr>
          <w:rFonts w:ascii="Times New Roman" w:hAnsi="Times New Roman" w:cs="Times New Roman"/>
        </w:rPr>
        <w:t>Tsonev</w:t>
      </w:r>
      <w:proofErr w:type="spellEnd"/>
      <w:r w:rsidR="00885B9F" w:rsidRPr="00885B9F">
        <w:rPr>
          <w:rFonts w:ascii="Times New Roman" w:hAnsi="Times New Roman" w:cs="Times New Roman"/>
        </w:rPr>
        <w:t xml:space="preserve"> in a monograph </w:t>
      </w:r>
      <w:proofErr w:type="gramStart"/>
      <w:r w:rsidR="00885B9F" w:rsidRPr="00885B9F">
        <w:rPr>
          <w:rFonts w:ascii="Times New Roman" w:hAnsi="Times New Roman" w:cs="Times New Roman"/>
        </w:rPr>
        <w:t>can be considered</w:t>
      </w:r>
      <w:proofErr w:type="gramEnd"/>
      <w:r w:rsidR="00885B9F" w:rsidRPr="00885B9F">
        <w:rPr>
          <w:rFonts w:ascii="Times New Roman" w:hAnsi="Times New Roman" w:cs="Times New Roman"/>
        </w:rPr>
        <w:t xml:space="preserve"> a significant scientific contribution, where he describes the quality of life of patients with chronic viral C-hepatitis and cirrhosis and the role of chronic liver disease</w:t>
      </w:r>
      <w:r w:rsidR="00A35C8E">
        <w:rPr>
          <w:rFonts w:ascii="Times New Roman" w:hAnsi="Times New Roman" w:cs="Times New Roman"/>
        </w:rPr>
        <w:t xml:space="preserve"> </w:t>
      </w:r>
      <w:r w:rsidR="00885B9F" w:rsidRPr="00885B9F">
        <w:rPr>
          <w:rFonts w:ascii="Times New Roman" w:hAnsi="Times New Roman" w:cs="Times New Roman"/>
        </w:rPr>
        <w:t>quality of life diseases as part of psychosomatics.</w:t>
      </w:r>
    </w:p>
    <w:p w:rsidR="00885B9F" w:rsidRDefault="00885B9F" w:rsidP="00885B9F">
      <w:pPr>
        <w:jc w:val="both"/>
        <w:rPr>
          <w:rFonts w:ascii="Times New Roman" w:hAnsi="Times New Roman" w:cs="Times New Roman"/>
        </w:rPr>
      </w:pPr>
      <w:r w:rsidRPr="00885B9F">
        <w:rPr>
          <w:rFonts w:ascii="Times New Roman" w:hAnsi="Times New Roman" w:cs="Times New Roman"/>
        </w:rPr>
        <w:t xml:space="preserve">I consider as a scientific contribution the independent monograph of Dr. </w:t>
      </w:r>
      <w:proofErr w:type="spellStart"/>
      <w:r w:rsidRPr="00885B9F">
        <w:rPr>
          <w:rFonts w:ascii="Times New Roman" w:hAnsi="Times New Roman" w:cs="Times New Roman"/>
        </w:rPr>
        <w:t>Radin</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on "</w:t>
      </w:r>
      <w:proofErr w:type="spellStart"/>
      <w:r w:rsidRPr="00885B9F">
        <w:rPr>
          <w:rFonts w:ascii="Times New Roman" w:hAnsi="Times New Roman" w:cs="Times New Roman"/>
        </w:rPr>
        <w:t>Immunomediated</w:t>
      </w:r>
      <w:proofErr w:type="spellEnd"/>
      <w:r w:rsidRPr="00885B9F">
        <w:rPr>
          <w:rFonts w:ascii="Times New Roman" w:hAnsi="Times New Roman" w:cs="Times New Roman"/>
        </w:rPr>
        <w:t xml:space="preserve"> side effects of the gastrointestinal tract in the course of therapy in malignant diseases", where the author presents a multidisciplinary model for diagnosis and treatment of gastrointestinal complications from immunotherapy with "</w:t>
      </w:r>
      <w:proofErr w:type="spellStart"/>
      <w:r w:rsidRPr="00885B9F">
        <w:rPr>
          <w:rFonts w:ascii="Times New Roman" w:hAnsi="Times New Roman" w:cs="Times New Roman"/>
        </w:rPr>
        <w:t>chenotherapy</w:t>
      </w:r>
      <w:proofErr w:type="spellEnd"/>
      <w:r w:rsidRPr="00885B9F">
        <w:rPr>
          <w:rFonts w:ascii="Times New Roman" w:hAnsi="Times New Roman" w:cs="Times New Roman"/>
        </w:rPr>
        <w:t xml:space="preserve">" “Cancer inhibitors. After the introduction of modern immunotherapy in </w:t>
      </w:r>
      <w:proofErr w:type="gramStart"/>
      <w:r w:rsidRPr="00885B9F">
        <w:rPr>
          <w:rFonts w:ascii="Times New Roman" w:hAnsi="Times New Roman" w:cs="Times New Roman"/>
        </w:rPr>
        <w:t>2018</w:t>
      </w:r>
      <w:proofErr w:type="gramEnd"/>
      <w:r w:rsidRPr="00885B9F">
        <w:rPr>
          <w:rFonts w:ascii="Times New Roman" w:hAnsi="Times New Roman" w:cs="Times New Roman"/>
        </w:rPr>
        <w:t xml:space="preserve"> there was a real revolution with the creation of new molecules, so. Checkpoint </w:t>
      </w:r>
      <w:proofErr w:type="gramStart"/>
      <w:r w:rsidRPr="00885B9F">
        <w:rPr>
          <w:rFonts w:ascii="Times New Roman" w:hAnsi="Times New Roman" w:cs="Times New Roman"/>
        </w:rPr>
        <w:t>inhibitors which</w:t>
      </w:r>
      <w:proofErr w:type="gramEnd"/>
      <w:r w:rsidRPr="00885B9F">
        <w:rPr>
          <w:rFonts w:ascii="Times New Roman" w:hAnsi="Times New Roman" w:cs="Times New Roman"/>
        </w:rPr>
        <w:t xml:space="preserve">, in addition to having a significant anti-cancer and immunomodulatory effect on various tumors, also lead to </w:t>
      </w:r>
      <w:proofErr w:type="spellStart"/>
      <w:r w:rsidRPr="00885B9F">
        <w:rPr>
          <w:rFonts w:ascii="Times New Roman" w:hAnsi="Times New Roman" w:cs="Times New Roman"/>
        </w:rPr>
        <w:t>immunomediated</w:t>
      </w:r>
      <w:proofErr w:type="spellEnd"/>
      <w:r w:rsidRPr="00885B9F">
        <w:rPr>
          <w:rFonts w:ascii="Times New Roman" w:hAnsi="Times New Roman" w:cs="Times New Roman"/>
        </w:rPr>
        <w:t xml:space="preserve"> adverse reactions of varying severity.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presents every aspect of diagnosis and proposes a therapeutic algorithm for successful prevention or treatment of unwanted gastrointestinal toxicity from treatment with immune checkpoint inhibitors in cancer.</w:t>
      </w:r>
    </w:p>
    <w:p w:rsidR="00885B9F" w:rsidRDefault="00885B9F"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5. Teaching and learning activities</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The teaching staff of the candidate includes conducting planned exercises and seminars with students, interns and graduates at MU - Sofia and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University Hospital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EAD. According to the academic report on the study workload of the candidate for the period 2017 - 2022, issued by the Department of Educational Activities, the study employment of Dr. 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according to the accepted criteria, is over 250 hours. These indicators fully cover the requirements for teaching and learning work in the competition for the academic position of "Associate Professor" at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University Hospital </w:t>
      </w:r>
      <w:proofErr w:type="spellStart"/>
      <w:r w:rsidRPr="00885B9F">
        <w:rPr>
          <w:rFonts w:ascii="Times New Roman" w:hAnsi="Times New Roman" w:cs="Times New Roman"/>
        </w:rPr>
        <w:t>Tokuda</w:t>
      </w:r>
      <w:proofErr w:type="spellEnd"/>
      <w:r w:rsidRPr="00885B9F">
        <w:rPr>
          <w:rFonts w:ascii="Times New Roman" w:hAnsi="Times New Roman" w:cs="Times New Roman"/>
        </w:rPr>
        <w:t>.</w:t>
      </w:r>
    </w:p>
    <w:p w:rsidR="00A35C8E" w:rsidRDefault="00A35C8E"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CONCLUSION</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lastRenderedPageBreak/>
        <w:t xml:space="preserve">Based on the submitted documentation for participation in the competition, I believe that the candidate, Chief Assistant Dr. </w:t>
      </w:r>
      <w:proofErr w:type="spellStart"/>
      <w:r w:rsidRPr="00885B9F">
        <w:rPr>
          <w:rFonts w:ascii="Times New Roman" w:hAnsi="Times New Roman" w:cs="Times New Roman"/>
        </w:rPr>
        <w:t>Radin</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w:t>
      </w:r>
      <w:r w:rsidR="00A35C8E">
        <w:rPr>
          <w:rFonts w:ascii="Times New Roman" w:hAnsi="Times New Roman" w:cs="Times New Roman"/>
        </w:rPr>
        <w:t>Ph</w:t>
      </w:r>
      <w:r w:rsidRPr="00885B9F">
        <w:rPr>
          <w:rFonts w:ascii="Times New Roman" w:hAnsi="Times New Roman" w:cs="Times New Roman"/>
        </w:rPr>
        <w:t>D, fully meets the requirements of ZRASRB, Rules for implementation of ZRASRB and Rules for the development of AC in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w:t>
      </w:r>
      <w:proofErr w:type="spellStart"/>
      <w:r w:rsidRPr="00885B9F">
        <w:rPr>
          <w:rFonts w:ascii="Times New Roman" w:hAnsi="Times New Roman" w:cs="Times New Roman"/>
        </w:rPr>
        <w:t>Tokuda</w:t>
      </w:r>
      <w:proofErr w:type="spellEnd"/>
      <w:r w:rsidRPr="00885B9F">
        <w:rPr>
          <w:rFonts w:ascii="Times New Roman" w:hAnsi="Times New Roman" w:cs="Times New Roman"/>
        </w:rPr>
        <w:t xml:space="preserve"> University Hospital</w:t>
      </w:r>
      <w:r w:rsidR="00A35C8E">
        <w:rPr>
          <w:rFonts w:ascii="Times New Roman" w:hAnsi="Times New Roman" w:cs="Times New Roman"/>
        </w:rPr>
        <w:t>”</w:t>
      </w:r>
      <w:r w:rsidRPr="00885B9F">
        <w:rPr>
          <w:rFonts w:ascii="Times New Roman" w:hAnsi="Times New Roman" w:cs="Times New Roman"/>
        </w:rPr>
        <w:t xml:space="preserve"> for the academic position of Associate Professor.</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is an established doctor - gastroenterologist, with many years of diverse clinical experience, with sufficient volume and quality of </w:t>
      </w:r>
      <w:proofErr w:type="spellStart"/>
      <w:r w:rsidRPr="00885B9F">
        <w:rPr>
          <w:rFonts w:ascii="Times New Roman" w:hAnsi="Times New Roman" w:cs="Times New Roman"/>
        </w:rPr>
        <w:t>scientometric</w:t>
      </w:r>
      <w:proofErr w:type="spellEnd"/>
      <w:r w:rsidRPr="00885B9F">
        <w:rPr>
          <w:rFonts w:ascii="Times New Roman" w:hAnsi="Times New Roman" w:cs="Times New Roman"/>
        </w:rPr>
        <w:t xml:space="preserve"> indicators and real theoretical and practical contributions to his research. Dr. </w:t>
      </w:r>
      <w:proofErr w:type="spellStart"/>
      <w:r w:rsidRPr="00885B9F">
        <w:rPr>
          <w:rFonts w:ascii="Times New Roman" w:hAnsi="Times New Roman" w:cs="Times New Roman"/>
        </w:rPr>
        <w:t>Tsonev</w:t>
      </w:r>
      <w:proofErr w:type="spellEnd"/>
      <w:r w:rsidRPr="00885B9F">
        <w:rPr>
          <w:rFonts w:ascii="Times New Roman" w:hAnsi="Times New Roman" w:cs="Times New Roman"/>
        </w:rPr>
        <w:t xml:space="preserve"> also has managerial experience as Head of the Department of Gastroenterology at </w:t>
      </w:r>
      <w:proofErr w:type="spellStart"/>
      <w:r w:rsidRPr="00885B9F">
        <w:rPr>
          <w:rFonts w:ascii="Times New Roman" w:hAnsi="Times New Roman" w:cs="Times New Roman"/>
        </w:rPr>
        <w:t>Acibadem</w:t>
      </w:r>
      <w:proofErr w:type="spellEnd"/>
      <w:r w:rsidRPr="00885B9F">
        <w:rPr>
          <w:rFonts w:ascii="Times New Roman" w:hAnsi="Times New Roman" w:cs="Times New Roman"/>
        </w:rPr>
        <w:t xml:space="preserve"> City Clinic UMHAT </w:t>
      </w:r>
      <w:proofErr w:type="spellStart"/>
      <w:r w:rsidRPr="00885B9F">
        <w:rPr>
          <w:rFonts w:ascii="Times New Roman" w:hAnsi="Times New Roman" w:cs="Times New Roman"/>
        </w:rPr>
        <w:t>Tokuda</w:t>
      </w:r>
      <w:proofErr w:type="spellEnd"/>
      <w:r w:rsidRPr="00885B9F">
        <w:rPr>
          <w:rFonts w:ascii="Times New Roman" w:hAnsi="Times New Roman" w:cs="Times New Roman"/>
        </w:rPr>
        <w:t>, and is a valuable expert in the multidisciplinary teams at the Hospital.</w:t>
      </w:r>
    </w:p>
    <w:p w:rsidR="00885B9F" w:rsidRPr="00885B9F" w:rsidRDefault="00885B9F" w:rsidP="00885B9F">
      <w:pPr>
        <w:jc w:val="both"/>
        <w:rPr>
          <w:rFonts w:ascii="Times New Roman" w:hAnsi="Times New Roman" w:cs="Times New Roman"/>
        </w:rPr>
      </w:pP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CONSIDERING THE ABOVE, I GIVE MY POSITIVE ASSESSMENT AND I CONVINCELY RECOMMEND TO THE DEAR MEMBERS OF THE SCIENTIFIC JURY TO VOTE</w:t>
      </w:r>
      <w:r>
        <w:rPr>
          <w:rFonts w:ascii="Times New Roman" w:hAnsi="Times New Roman" w:cs="Times New Roman"/>
        </w:rPr>
        <w:t xml:space="preserve"> </w:t>
      </w:r>
      <w:r w:rsidR="008E2C87">
        <w:rPr>
          <w:rFonts w:ascii="Times New Roman" w:hAnsi="Times New Roman" w:cs="Times New Roman"/>
        </w:rPr>
        <w:t xml:space="preserve">RADIN TSONEV </w:t>
      </w:r>
      <w:proofErr w:type="spellStart"/>
      <w:r w:rsidR="008E2C87">
        <w:rPr>
          <w:rFonts w:ascii="Times New Roman" w:hAnsi="Times New Roman" w:cs="Times New Roman"/>
        </w:rPr>
        <w:t>TSONEV</w:t>
      </w:r>
      <w:proofErr w:type="spellEnd"/>
      <w:r w:rsidRPr="00885B9F">
        <w:rPr>
          <w:rFonts w:ascii="Times New Roman" w:hAnsi="Times New Roman" w:cs="Times New Roman"/>
        </w:rPr>
        <w:t xml:space="preserve"> </w:t>
      </w:r>
      <w:r w:rsidR="00A35C8E">
        <w:rPr>
          <w:rFonts w:ascii="Times New Roman" w:hAnsi="Times New Roman" w:cs="Times New Roman"/>
        </w:rPr>
        <w:t xml:space="preserve">TO HOLD </w:t>
      </w:r>
      <w:r w:rsidRPr="00885B9F">
        <w:rPr>
          <w:rFonts w:ascii="Times New Roman" w:hAnsi="Times New Roman" w:cs="Times New Roman"/>
        </w:rPr>
        <w:t xml:space="preserve">THE ACADEMIC POSITION "ASSOCIATE </w:t>
      </w:r>
      <w:r>
        <w:rPr>
          <w:rFonts w:ascii="Times New Roman" w:hAnsi="Times New Roman" w:cs="Times New Roman"/>
          <w:lang w:val="en-US"/>
        </w:rPr>
        <w:t>PROFESSOR</w:t>
      </w:r>
      <w:r w:rsidRPr="00885B9F">
        <w:rPr>
          <w:rFonts w:ascii="Times New Roman" w:hAnsi="Times New Roman" w:cs="Times New Roman"/>
        </w:rPr>
        <w:t>" IN THE SCIENTIFIC SPECIALTY "GASTROENTEROLOGY" FOR THE NEEDS OF THE CLINIC OF GASTROENTEROLOGY OF "</w:t>
      </w:r>
      <w:r>
        <w:rPr>
          <w:rFonts w:ascii="Times New Roman" w:hAnsi="Times New Roman" w:cs="Times New Roman"/>
        </w:rPr>
        <w:t>ACIBADEM CITY CLINIC UMHAT TOKUDA”</w:t>
      </w:r>
      <w:r w:rsidR="0064164E">
        <w:rPr>
          <w:rFonts w:ascii="Times New Roman" w:hAnsi="Times New Roman" w:cs="Times New Roman"/>
        </w:rPr>
        <w:t>.</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 </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23.05.2022 </w:t>
      </w:r>
      <w:r w:rsidR="008E2C87">
        <w:rPr>
          <w:rFonts w:ascii="Times New Roman" w:hAnsi="Times New Roman" w:cs="Times New Roman"/>
        </w:rPr>
        <w:t xml:space="preserve">                                                      </w:t>
      </w:r>
      <w:proofErr w:type="gramStart"/>
      <w:r w:rsidRPr="00885B9F">
        <w:rPr>
          <w:rFonts w:ascii="Times New Roman" w:hAnsi="Times New Roman" w:cs="Times New Roman"/>
        </w:rPr>
        <w:t>Prepared</w:t>
      </w:r>
      <w:proofErr w:type="gramEnd"/>
      <w:r w:rsidRPr="00885B9F">
        <w:rPr>
          <w:rFonts w:ascii="Times New Roman" w:hAnsi="Times New Roman" w:cs="Times New Roman"/>
        </w:rPr>
        <w:t xml:space="preserve"> the opinion:</w:t>
      </w:r>
    </w:p>
    <w:p w:rsidR="00885B9F" w:rsidRPr="00885B9F" w:rsidRDefault="00885B9F" w:rsidP="00885B9F">
      <w:pPr>
        <w:jc w:val="both"/>
        <w:rPr>
          <w:rFonts w:ascii="Times New Roman" w:hAnsi="Times New Roman" w:cs="Times New Roman"/>
        </w:rPr>
      </w:pPr>
      <w:r w:rsidRPr="00885B9F">
        <w:rPr>
          <w:rFonts w:ascii="Times New Roman" w:hAnsi="Times New Roman" w:cs="Times New Roman"/>
        </w:rPr>
        <w:t xml:space="preserve">City. Sofia </w:t>
      </w:r>
      <w:r w:rsidR="008E2C87">
        <w:rPr>
          <w:rFonts w:ascii="Times New Roman" w:hAnsi="Times New Roman" w:cs="Times New Roman"/>
        </w:rPr>
        <w:t xml:space="preserve">                                                         </w:t>
      </w:r>
      <w:r w:rsidR="00563158">
        <w:rPr>
          <w:rFonts w:ascii="Times New Roman" w:hAnsi="Times New Roman" w:cs="Times New Roman"/>
        </w:rPr>
        <w:t>/</w:t>
      </w:r>
      <w:bookmarkStart w:id="0" w:name="_GoBack"/>
      <w:bookmarkEnd w:id="0"/>
      <w:r w:rsidRPr="00885B9F">
        <w:rPr>
          <w:rFonts w:ascii="Times New Roman" w:hAnsi="Times New Roman" w:cs="Times New Roman"/>
        </w:rPr>
        <w:t xml:space="preserve"> </w:t>
      </w:r>
      <w:proofErr w:type="spellStart"/>
      <w:r w:rsidRPr="00885B9F">
        <w:rPr>
          <w:rFonts w:ascii="Times New Roman" w:hAnsi="Times New Roman" w:cs="Times New Roman"/>
        </w:rPr>
        <w:t>Assoc.</w:t>
      </w:r>
      <w:r w:rsidR="008E2C87">
        <w:rPr>
          <w:rFonts w:ascii="Times New Roman" w:hAnsi="Times New Roman" w:cs="Times New Roman"/>
        </w:rPr>
        <w:t>prof</w:t>
      </w:r>
      <w:proofErr w:type="spellEnd"/>
      <w:r w:rsidR="008E2C87">
        <w:rPr>
          <w:rFonts w:ascii="Times New Roman" w:hAnsi="Times New Roman" w:cs="Times New Roman"/>
        </w:rPr>
        <w:t xml:space="preserve">. </w:t>
      </w:r>
      <w:r w:rsidRPr="00885B9F">
        <w:rPr>
          <w:rFonts w:ascii="Times New Roman" w:hAnsi="Times New Roman" w:cs="Times New Roman"/>
        </w:rPr>
        <w:t xml:space="preserve"> </w:t>
      </w:r>
      <w:proofErr w:type="gramStart"/>
      <w:r w:rsidRPr="00885B9F">
        <w:rPr>
          <w:rFonts w:ascii="Times New Roman" w:hAnsi="Times New Roman" w:cs="Times New Roman"/>
        </w:rPr>
        <w:t>Dr</w:t>
      </w:r>
      <w:proofErr w:type="gramEnd"/>
      <w:r w:rsidRPr="00885B9F">
        <w:rPr>
          <w:rFonts w:ascii="Times New Roman" w:hAnsi="Times New Roman" w:cs="Times New Roman"/>
        </w:rPr>
        <w:t xml:space="preserve">. </w:t>
      </w:r>
      <w:proofErr w:type="spellStart"/>
      <w:r w:rsidRPr="00885B9F">
        <w:rPr>
          <w:rFonts w:ascii="Times New Roman" w:hAnsi="Times New Roman" w:cs="Times New Roman"/>
        </w:rPr>
        <w:t>Zhelyazko</w:t>
      </w:r>
      <w:proofErr w:type="spellEnd"/>
      <w:r w:rsidRPr="00885B9F">
        <w:rPr>
          <w:rFonts w:ascii="Times New Roman" w:hAnsi="Times New Roman" w:cs="Times New Roman"/>
        </w:rPr>
        <w:t xml:space="preserve"> </w:t>
      </w:r>
      <w:proofErr w:type="spellStart"/>
      <w:r w:rsidRPr="00885B9F">
        <w:rPr>
          <w:rFonts w:ascii="Times New Roman" w:hAnsi="Times New Roman" w:cs="Times New Roman"/>
        </w:rPr>
        <w:t>Arabadjiev</w:t>
      </w:r>
      <w:proofErr w:type="spellEnd"/>
      <w:r w:rsidRPr="00885B9F">
        <w:rPr>
          <w:rFonts w:ascii="Times New Roman" w:hAnsi="Times New Roman" w:cs="Times New Roman"/>
        </w:rPr>
        <w:t xml:space="preserve">, </w:t>
      </w:r>
      <w:r w:rsidR="008E2C87">
        <w:rPr>
          <w:rFonts w:ascii="Times New Roman" w:hAnsi="Times New Roman" w:cs="Times New Roman"/>
        </w:rPr>
        <w:t>PhD</w:t>
      </w:r>
      <w:r w:rsidRPr="00885B9F">
        <w:rPr>
          <w:rFonts w:ascii="Times New Roman" w:hAnsi="Times New Roman" w:cs="Times New Roman"/>
        </w:rPr>
        <w:t xml:space="preserve"> /</w:t>
      </w:r>
      <w:r w:rsidR="0064164E">
        <w:rPr>
          <w:rFonts w:ascii="Times New Roman" w:hAnsi="Times New Roman" w:cs="Times New Roman"/>
        </w:rPr>
        <w:t>.</w:t>
      </w:r>
    </w:p>
    <w:sectPr w:rsidR="00885B9F" w:rsidRPr="00885B9F">
      <w:pgSz w:w="16702" w:h="16838"/>
      <w:pgMar w:top="1417" w:right="621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9F"/>
    <w:rsid w:val="005557CC"/>
    <w:rsid w:val="00563158"/>
    <w:rsid w:val="005D465D"/>
    <w:rsid w:val="0064164E"/>
    <w:rsid w:val="00885B9F"/>
    <w:rsid w:val="008E2C87"/>
    <w:rsid w:val="009A02A4"/>
    <w:rsid w:val="00A35C8E"/>
    <w:rsid w:val="00EA6EA0"/>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4931"/>
  <w15:chartTrackingRefBased/>
  <w15:docId w15:val="{248D0BDB-48DB-463D-B329-C15B0865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table" w:styleId="TableGrid">
    <w:name w:val="Table Grid"/>
    <w:basedOn w:val="TableNormal"/>
    <w:uiPriority w:val="59"/>
    <w:unhideWhenUsed/>
    <w:rsid w:val="008E2C8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2022-06-22T07:20:00Z</dcterms:created>
  <dcterms:modified xsi:type="dcterms:W3CDTF">2022-06-22T08:03:00Z</dcterms:modified>
</cp:coreProperties>
</file>